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9B0A7" w14:textId="70CEBC09" w:rsidR="00050322" w:rsidRPr="00A163FE" w:rsidRDefault="00050322" w:rsidP="00050322">
      <w:pPr>
        <w:pStyle w:val="TitleSectionTitles"/>
        <w:rPr>
          <w:noProof w:val="0"/>
          <w:lang w:val="en-AU"/>
        </w:rPr>
      </w:pPr>
      <w:r w:rsidRPr="00A163FE"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54AF1D" wp14:editId="0BCECC92">
                <wp:simplePos x="0" y="0"/>
                <wp:positionH relativeFrom="column">
                  <wp:posOffset>749935</wp:posOffset>
                </wp:positionH>
                <wp:positionV relativeFrom="paragraph">
                  <wp:posOffset>518160</wp:posOffset>
                </wp:positionV>
                <wp:extent cx="5914800" cy="0"/>
                <wp:effectExtent l="0" t="0" r="29210" b="19050"/>
                <wp:wrapSquare wrapText="bothSides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7C8C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0B57D91" id="Straight Connector 1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40.8pt" to="524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" strokecolor="#c7c8ca">
                <w10:wrap type="square"/>
              </v:line>
            </w:pict>
          </mc:Fallback>
        </mc:AlternateContent>
      </w:r>
      <w:r w:rsidRPr="00A163FE">
        <w:rPr>
          <w:lang w:val="en-AU" w:eastAsia="en-AU"/>
        </w:rPr>
        <w:drawing>
          <wp:anchor distT="0" distB="0" distL="114300" distR="114300" simplePos="0" relativeHeight="251735040" behindDoc="0" locked="0" layoutInCell="1" allowOverlap="1" wp14:anchorId="178AB922" wp14:editId="3FED1AC1">
            <wp:simplePos x="0" y="0"/>
            <wp:positionH relativeFrom="column">
              <wp:posOffset>626745</wp:posOffset>
            </wp:positionH>
            <wp:positionV relativeFrom="paragraph">
              <wp:posOffset>215900</wp:posOffset>
            </wp:positionV>
            <wp:extent cx="345600" cy="345600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C25">
        <w:rPr>
          <w:noProof w:val="0"/>
          <w:lang w:val="en-AU"/>
        </w:rPr>
        <w:t>publications</w:t>
      </w:r>
    </w:p>
    <w:p w14:paraId="451BE765" w14:textId="77777777" w:rsidR="00FA483C" w:rsidRDefault="00FA483C" w:rsidP="00FD63AC">
      <w:pPr>
        <w:pStyle w:val="DateAll"/>
        <w:tabs>
          <w:tab w:val="clear" w:pos="7258"/>
          <w:tab w:val="right" w:pos="10490"/>
        </w:tabs>
        <w:spacing w:before="0"/>
        <w:ind w:left="1701" w:right="1412"/>
        <w:rPr>
          <w:rStyle w:val="JobTitle"/>
          <w:lang w:val="en-AU"/>
        </w:rPr>
      </w:pPr>
    </w:p>
    <w:p w14:paraId="35106BDC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Style w:val="JobTitle"/>
          <w:lang w:val="en-AU"/>
        </w:rPr>
      </w:pPr>
      <w:r w:rsidRPr="00E36740">
        <w:rPr>
          <w:rStyle w:val="JobTitle"/>
          <w:lang w:val="en-AU"/>
        </w:rPr>
        <w:t>Refereed journal articles</w:t>
      </w:r>
    </w:p>
    <w:p w14:paraId="5206B16F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S. &amp;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Skuja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, V. (2016).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Prioritising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 total survey error mitigation strategies using a risk management approach, </w:t>
      </w:r>
      <w:r w:rsidRPr="00E36740">
        <w:rPr>
          <w:rFonts w:asciiTheme="majorHAnsi" w:hAnsiTheme="majorHAnsi"/>
          <w:bCs/>
          <w:iCs/>
          <w:lang w:val="en-US"/>
        </w:rPr>
        <w:t>Statistical Journal of the IAOS</w:t>
      </w:r>
      <w:r w:rsidRPr="00E36740">
        <w:rPr>
          <w:rFonts w:asciiTheme="majorHAnsi" w:hAnsiTheme="majorHAnsi"/>
          <w:bCs/>
          <w:i/>
          <w:iCs/>
          <w:lang w:val="en-US"/>
        </w:rPr>
        <w:t>, 34(4), 555-561.</w:t>
      </w:r>
    </w:p>
    <w:p w14:paraId="65D1D959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 (2016). Graduate Destinations of Higher Education Students: A revised outcomes model, </w:t>
      </w:r>
      <w:r w:rsidRPr="00E36740">
        <w:rPr>
          <w:rFonts w:asciiTheme="majorHAnsi" w:hAnsiTheme="majorHAnsi"/>
          <w:bCs/>
          <w:iCs/>
          <w:lang w:val="en-US"/>
        </w:rPr>
        <w:t xml:space="preserve">Journal of Institutional Research South East Asia, </w:t>
      </w:r>
      <w:r w:rsidRPr="00E36740">
        <w:rPr>
          <w:rFonts w:asciiTheme="majorHAnsi" w:hAnsiTheme="majorHAnsi"/>
          <w:bCs/>
          <w:i/>
          <w:iCs/>
          <w:lang w:val="en-US"/>
        </w:rPr>
        <w:t>14(1), 29-41.</w:t>
      </w:r>
    </w:p>
    <w:p w14:paraId="3E8C05FF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S. (2015). A case study approach to understanding Total Survey Error and Institutional Research. </w:t>
      </w:r>
      <w:r w:rsidRPr="00E36740">
        <w:rPr>
          <w:rFonts w:asciiTheme="majorHAnsi" w:hAnsiTheme="majorHAnsi"/>
          <w:bCs/>
          <w:iCs/>
          <w:lang w:val="en-US"/>
        </w:rPr>
        <w:t>Journal of Institutional Research South East Asia.</w:t>
      </w:r>
      <w:r w:rsidRPr="00E36740">
        <w:rPr>
          <w:rFonts w:asciiTheme="majorHAnsi" w:hAnsiTheme="majorHAnsi"/>
          <w:bCs/>
          <w:i/>
          <w:iCs/>
          <w:lang w:val="en-US"/>
        </w:rPr>
        <w:t xml:space="preserve"> 13(1), 39-54.</w:t>
      </w:r>
    </w:p>
    <w:p w14:paraId="1CCED93C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S. (2003).  Students who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enrol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 to withdraw:  Planned attrition from university courses.  Journal of College Student Retention, 4, 281-294.</w:t>
      </w:r>
    </w:p>
    <w:p w14:paraId="4670A538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S. (2001).  Youth at risk:  Why don’t they just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enrol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 in a tertiary course or get a job?  Youth Studies Australia, 20, 23-28.</w:t>
      </w:r>
    </w:p>
    <w:p w14:paraId="6A7F27B0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S. &amp; Porter, J. (1999).  Student perceptions of subject selection.  Australian Journal of Career Development, 8, 44-48.    </w:t>
      </w:r>
    </w:p>
    <w:p w14:paraId="2B227CAE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>, B., Watson-Brown, C. &amp; Whiteley, S. (1998).  Time-related discounting of value and decision-making about job options.  Journal of Vocational Behavior, 52, 89-105.</w:t>
      </w:r>
    </w:p>
    <w:p w14:paraId="6515EEB5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>, B. &amp; Whiteley, S. (1996). Year 12 students’ estimates of their examination performance: Accurate or not?  Australian Journal of Career Development, 5(2), 34-38.</w:t>
      </w:r>
    </w:p>
    <w:p w14:paraId="15738B3F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>, B. &amp; Whiteley, S. (1995). Students’ perceptions of help received during the tertiary admissions process.  Australian Journal of Career Development, 4(3), 64-69.</w:t>
      </w:r>
    </w:p>
    <w:p w14:paraId="0CB19C2C" w14:textId="4E0DF186" w:rsid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>, B. &amp; Whiteley, S. (1994) University admissions decision research.  Prospects 2, 10-12.</w:t>
      </w:r>
    </w:p>
    <w:p w14:paraId="7FB6FC52" w14:textId="46973CC0" w:rsidR="00C847D5" w:rsidRDefault="00C847D5">
      <w:pPr>
        <w:rPr>
          <w:rStyle w:val="JobTitle"/>
          <w:szCs w:val="22"/>
          <w:lang w:val="en-AU"/>
        </w:rPr>
      </w:pPr>
    </w:p>
    <w:p w14:paraId="14C104E0" w14:textId="7D1A9444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Style w:val="JobTitle"/>
          <w:lang w:val="en-AU"/>
        </w:rPr>
      </w:pPr>
      <w:r w:rsidRPr="00E36740">
        <w:rPr>
          <w:rStyle w:val="JobTitle"/>
          <w:lang w:val="en-AU"/>
        </w:rPr>
        <w:t>Book chapters</w:t>
      </w:r>
    </w:p>
    <w:p w14:paraId="4BE4C464" w14:textId="225FFBDC" w:rsid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 (2016). Creating a coherent performance indicator framework for the higher education student lifecycle in Australia.</w:t>
      </w:r>
      <w:r w:rsidRPr="00E36740">
        <w:rPr>
          <w:rFonts w:asciiTheme="majorHAnsi" w:hAnsiTheme="majorHAnsi"/>
          <w:lang w:val="en-US"/>
        </w:rPr>
        <w:t xml:space="preserve"> In Prichard, R, </w:t>
      </w:r>
      <w:proofErr w:type="spellStart"/>
      <w:r w:rsidRPr="00E36740">
        <w:rPr>
          <w:rFonts w:asciiTheme="majorHAnsi" w:hAnsiTheme="majorHAnsi"/>
          <w:lang w:val="en-US"/>
        </w:rPr>
        <w:t>Pausits</w:t>
      </w:r>
      <w:proofErr w:type="spellEnd"/>
      <w:r w:rsidRPr="00E36740">
        <w:rPr>
          <w:rFonts w:asciiTheme="majorHAnsi" w:hAnsiTheme="majorHAnsi"/>
          <w:lang w:val="en-US"/>
        </w:rPr>
        <w:t xml:space="preserve">, A, and Williams, J. (Eds.) </w:t>
      </w:r>
      <w:r w:rsidRPr="00E36740">
        <w:rPr>
          <w:rFonts w:asciiTheme="majorHAnsi" w:hAnsiTheme="majorHAnsi"/>
          <w:bCs/>
          <w:i/>
          <w:iCs/>
          <w:lang w:val="en-US"/>
        </w:rPr>
        <w:t>Positioning Higher Education Institutions: From here to there.  The Netherlands. Sense Publishing</w:t>
      </w:r>
    </w:p>
    <w:p w14:paraId="574DEBEE" w14:textId="77777777" w:rsidR="00C847D5" w:rsidRPr="00E36740" w:rsidRDefault="00C847D5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</w:p>
    <w:p w14:paraId="4BE45533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Style w:val="JobTitle"/>
          <w:lang w:val="en-AU"/>
        </w:rPr>
      </w:pPr>
      <w:r w:rsidRPr="00E36740">
        <w:rPr>
          <w:rStyle w:val="JobTitle"/>
          <w:lang w:val="en-AU"/>
        </w:rPr>
        <w:t>Conference presentations</w:t>
      </w:r>
    </w:p>
    <w:p w14:paraId="11A56716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 (2016). From macro to micro: Can national feedback on the student experience be used to improve teaching quality at a course level? Paper presented at the European Association for Institutional Research Forum, Birmingham, UK.</w:t>
      </w:r>
    </w:p>
    <w:p w14:paraId="11707D81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S. (2016). National, large-scale surveys as ‘marketing campaigns: as case study of the Student Experience Survey. Paper presented at the ACSPRI Social Science Methodology Conference 2016, Sydney Australia.</w:t>
      </w:r>
    </w:p>
    <w:p w14:paraId="238B6E6B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 (2016). Thinking about leaving? Departure intentions of commencing university students. Paper presented at the Australasian Association for Institutional Researchers Special Interest Group, Adelaide, Australia.</w:t>
      </w:r>
    </w:p>
    <w:p w14:paraId="3717CD52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Sheppard, J., Biddle, N, and Whiteley, S. (2016) Recruitment reminder effects: how do reminder waves recruit different profiles of respondents in an online survey? Paper presented at the World Association for Public Opinion Research, Texas, USA.</w:t>
      </w:r>
    </w:p>
    <w:p w14:paraId="272CA373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 (2015). Rethinking graduate destinations: a revised model of higher education </w:t>
      </w:r>
      <w:r w:rsidRPr="00E36740">
        <w:rPr>
          <w:rFonts w:asciiTheme="majorHAnsi" w:hAnsiTheme="majorHAnsi"/>
          <w:bCs/>
          <w:i/>
          <w:iCs/>
          <w:lang w:val="en-US"/>
        </w:rPr>
        <w:lastRenderedPageBreak/>
        <w:t>graduate outcomes. Paper presented at the Australasian Association for Institutional Researchers Forum, Wellington, New Zealand.</w:t>
      </w:r>
    </w:p>
    <w:p w14:paraId="76873263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 (2015). Transitioning the Australian higher education sector to the Graduate Outcomes Survey: development and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operationalisation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 of a survey program. Paper presented at the Australasian Association for Institutional Researchers Forum, Wellington, New Zealand. </w:t>
      </w:r>
    </w:p>
    <w:p w14:paraId="3BA50856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 (2015). Creating a coherent performance indicator framework for the higher education student lifecycle in Australia. Paper presented at the European Association for Institutional Research Forum,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Krems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>, Austria.</w:t>
      </w:r>
    </w:p>
    <w:p w14:paraId="453D9532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 (2015). Total Survey Error across a program of three national surveys: using a risk management approach to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prioritise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 error mitigation strategies. Paper presented at the European Survey Research Association Conference, Reykjavik, Iceland.  </w:t>
      </w:r>
    </w:p>
    <w:p w14:paraId="669183B7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S. (2014). Mitigating errors of representation: A practical case study of the University Experience Survey. Paper presented at the ACSPRI Social Science Methodology Conference 2014, Sydney Australia.</w:t>
      </w:r>
    </w:p>
    <w:p w14:paraId="7776FA8A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S. (2014). Total Survey Error &amp; Institutional Research: A case study of the University Experience Survey. Paper presented at the Australasian Association for Institutional Researchers Forum, Melbourne, Australia.</w:t>
      </w:r>
    </w:p>
    <w:p w14:paraId="2A767207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 (2014). Collecting feedback on quality indicators of the higher education student experience. Presentation at the Student Experience Conference, Brisbane, Australia.</w:t>
      </w:r>
    </w:p>
    <w:p w14:paraId="1D012D9E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S. &amp;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Skuja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>, E. (2014). Risk management and the release of micro data: balancing disclosure risks and data utility.  Paper presented at the IAOS 2014 Conference on Official Statistics, Da Nang, Vietnam.</w:t>
      </w:r>
    </w:p>
    <w:p w14:paraId="513FCD48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S,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Skuja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, E., and Matthews, D. (2013).  The University Experience Survey: </w:t>
      </w:r>
      <w:proofErr w:type="gramStart"/>
      <w:r w:rsidRPr="00E36740">
        <w:rPr>
          <w:rFonts w:asciiTheme="majorHAnsi" w:hAnsiTheme="majorHAnsi"/>
          <w:bCs/>
          <w:i/>
          <w:iCs/>
          <w:lang w:val="en-US"/>
        </w:rPr>
        <w:t>Current status</w:t>
      </w:r>
      <w:proofErr w:type="gramEnd"/>
      <w:r w:rsidRPr="00E36740">
        <w:rPr>
          <w:rFonts w:asciiTheme="majorHAnsi" w:hAnsiTheme="majorHAnsi"/>
          <w:bCs/>
          <w:i/>
          <w:iCs/>
          <w:lang w:val="en-US"/>
        </w:rPr>
        <w:t>, future directions. Paper presented at the Australasian Association for Institutional Researchers Forum, Perth, Australia.</w:t>
      </w:r>
    </w:p>
    <w:p w14:paraId="17B3168E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Lusher, D., Pattison, P., Waters, E., Gibbs, L., MacDougall, C. &amp; Whiteley, S. (2012). Bushfires, Social Connectedness and Mental Health: Post-disaster community recovery in regional Australia. Paper presented at the Sunbelt Social Network Conference, Redondo Beach, USA.</w:t>
      </w:r>
    </w:p>
    <w:p w14:paraId="4C74FF6E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S. &amp;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Skuja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>, E. (2003). Using institutional research to influence university policy. Paper presented at the Australasian Association for Institutional Researchers Forum, Adelaide.  Awarded Best Presentation.</w:t>
      </w:r>
    </w:p>
    <w:p w14:paraId="3F78017E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S. (2001). Planned attrition:  What to do about the students you never really had.  Paper presented at the Australasian Association for Institutional Researchers Forum, Rockhampton.</w:t>
      </w:r>
    </w:p>
    <w:p w14:paraId="79DE1324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 xml:space="preserve">Whiteley, S. (2001).  Data guilt:  Should you be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analysing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 your qualitative survey data?  Paper presented at the Australasian Association for Institutional Researchers Forum, Rockhampton.</w:t>
      </w:r>
    </w:p>
    <w:p w14:paraId="57913A26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S. &amp; Neil, C. (1999).  The secondary-tertiary transition:  Stakeholder experiences and current issues in Queensland.  Paper presented at the Australian Association of Careers Counsellors Conference, Sydney.</w:t>
      </w:r>
    </w:p>
    <w:p w14:paraId="79709732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 &amp; Neil, C. (1998).  Queensland Year 12 students’ experiences of access to information about post-school options:  Are there equity issues?  Paper presented at the Australian Association for Research in Education Conference, Adelaide.</w:t>
      </w:r>
    </w:p>
    <w:p w14:paraId="6F655FBC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 &amp; Porter, J. (1998).  Student perceptions of subject selection:  Longitudinal perspectives from Queensland schools.  Paper presented at the Australian Association for Research in Education Conference, Adelaide.</w:t>
      </w:r>
    </w:p>
    <w:p w14:paraId="1F1691D4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lastRenderedPageBreak/>
        <w:t>Cornwell, A &amp; Whiteley, S. (1998).  Developing a pre-service teacher education module:  Changing education through practice.  Paper presented at the Australian Association for Research in Education Conference, Adelaide.</w:t>
      </w:r>
    </w:p>
    <w:p w14:paraId="3FE54676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Smith, L &amp; Whiteley, S. (1998).  School</w:t>
      </w:r>
      <w:r w:rsidRPr="00E36740">
        <w:rPr>
          <w:rFonts w:asciiTheme="majorHAnsi" w:hAnsiTheme="majorHAnsi"/>
          <w:bCs/>
          <w:i/>
          <w:iCs/>
          <w:lang w:val="en-US"/>
        </w:rPr>
        <w:noBreakHyphen/>
        <w:t>VET</w:t>
      </w:r>
      <w:r w:rsidRPr="00E36740">
        <w:rPr>
          <w:rFonts w:asciiTheme="majorHAnsi" w:hAnsiTheme="majorHAnsi"/>
          <w:bCs/>
          <w:i/>
          <w:iCs/>
          <w:lang w:val="en-US"/>
        </w:rPr>
        <w:noBreakHyphen/>
        <w:t>University collaborative and integrated student pathways: Opportunities, challenges and pitfalls.  Paper presented at the Australasian Association for Institutional Researchers Forum, Melbourne.</w:t>
      </w:r>
    </w:p>
    <w:p w14:paraId="59CCEB8A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 &amp; Neil, C. (1998).  Access to tertiary study:  To what extent to information and service needs vary across groups?  Paper presented at the 3rd National Equity and Access Conference, Yeppoon Queensland.</w:t>
      </w:r>
    </w:p>
    <w:p w14:paraId="257502B2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S. &amp; Porter, J. (1997). The longitudinal study on career decisions and tertiary pathways: School case study. Paper presented at the Australian Association for Research in Education Conference, Brisbane.</w:t>
      </w:r>
    </w:p>
    <w:p w14:paraId="14F54048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S. &amp; Field, C. (1997).  Interactive telephone technology and applications for tertiary study.  Paper presented at the Australian Association for Research in Education Conference, Brisbane.</w:t>
      </w:r>
    </w:p>
    <w:p w14:paraId="1FAFC6ED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r w:rsidRPr="00E36740">
        <w:rPr>
          <w:rFonts w:asciiTheme="majorHAnsi" w:hAnsiTheme="majorHAnsi"/>
          <w:bCs/>
          <w:i/>
          <w:iCs/>
          <w:lang w:val="en-US"/>
        </w:rPr>
        <w:t>Whiteley, S. &amp; Field, C. (1997). Provision and dissemination of tertiary entrance information.  Paper presented at the Australian Association for Research in Education Conference, Brisbane.</w:t>
      </w:r>
    </w:p>
    <w:p w14:paraId="356F317D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, B., Watson-Brown, C., &amp; Whiteley, S. (1996).  Time discounting and decision-making about job options.  Paper presented at the Society for Industrial and </w:t>
      </w: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Organisational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 xml:space="preserve"> Psychology Conference, USA.</w:t>
      </w:r>
    </w:p>
    <w:p w14:paraId="05CA5584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>, B. &amp; Whiteley, S. (1995). Time discounting and decision making in applied contexts.  Paper presented at the Social Psychology Conference, Hobart.</w:t>
      </w:r>
    </w:p>
    <w:p w14:paraId="3E3F58E8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US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US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US"/>
        </w:rPr>
        <w:t>, B. &amp; Whiteley, S. (1995). HSC students’ tertiary education decision processes.  Paper presented at the National Careers Advisers Conference, Melbourne.</w:t>
      </w:r>
    </w:p>
    <w:p w14:paraId="15A2D206" w14:textId="330272EF" w:rsidR="00C847D5" w:rsidRDefault="00C847D5">
      <w:pPr>
        <w:rPr>
          <w:rFonts w:asciiTheme="majorHAnsi" w:hAnsiTheme="majorHAnsi" w:cs="Calibri"/>
          <w:b/>
          <w:color w:val="474746"/>
          <w:sz w:val="22"/>
          <w:szCs w:val="22"/>
        </w:rPr>
      </w:pPr>
      <w:bookmarkStart w:id="0" w:name="_GoBack"/>
      <w:bookmarkEnd w:id="0"/>
    </w:p>
    <w:p w14:paraId="1F429FB7" w14:textId="29FACD4D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/>
          <w:lang w:val="en-US"/>
        </w:rPr>
      </w:pPr>
      <w:r w:rsidRPr="00E36740">
        <w:rPr>
          <w:rFonts w:asciiTheme="majorHAnsi" w:hAnsiTheme="majorHAnsi"/>
          <w:b/>
          <w:lang w:val="en-US"/>
        </w:rPr>
        <w:t>Reports</w:t>
      </w:r>
    </w:p>
    <w:p w14:paraId="59F5E461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 xml:space="preserve">Whiteley, S. &amp; </w:t>
      </w:r>
      <w:proofErr w:type="spellStart"/>
      <w:r w:rsidRPr="00E36740">
        <w:rPr>
          <w:rFonts w:asciiTheme="majorHAnsi" w:hAnsiTheme="majorHAnsi"/>
          <w:bCs/>
          <w:i/>
          <w:iCs/>
          <w:lang w:val="en-AU"/>
        </w:rPr>
        <w:t>Pennay</w:t>
      </w:r>
      <w:proofErr w:type="spellEnd"/>
      <w:r w:rsidRPr="00E36740">
        <w:rPr>
          <w:rFonts w:asciiTheme="majorHAnsi" w:hAnsiTheme="majorHAnsi"/>
          <w:bCs/>
          <w:i/>
          <w:iCs/>
          <w:lang w:val="en-AU"/>
        </w:rPr>
        <w:t xml:space="preserve">, D. (2012) Preliminary stocktake of VET survey activity in Australia. Report prepared for The National Centre for Vocational Research. </w:t>
      </w:r>
    </w:p>
    <w:p w14:paraId="49474038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(2012). Youth transition survey. Diabetes Australia: Canberra, ACT</w:t>
      </w:r>
    </w:p>
    <w:p w14:paraId="4D777C29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 (2006).  National Social Housing Survey, State Owned and Managed Indigenous Housing, 2005.  Report prepared for the Australian Institute of Health and Welfare.</w:t>
      </w:r>
    </w:p>
    <w:p w14:paraId="7BE3063C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 (2005).  Evaluation of the Blueprint Leadership Development Initiatives: Progress Report 2005.  Report prepared for the Department of Education and Training, Victoria.</w:t>
      </w:r>
    </w:p>
    <w:p w14:paraId="4F7327BA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 (2005).  Evaluation of the Leading Schools Fund: Progress Report 2005.  Report prepared for the Department of Education and Training, Victoria.</w:t>
      </w:r>
    </w:p>
    <w:p w14:paraId="0FC7F532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 xml:space="preserve">Whiteley, S. (2002).  Parent Opinion Survey.  Report prepared for </w:t>
      </w:r>
      <w:proofErr w:type="spellStart"/>
      <w:r w:rsidRPr="00E36740">
        <w:rPr>
          <w:rFonts w:asciiTheme="majorHAnsi" w:hAnsiTheme="majorHAnsi"/>
          <w:bCs/>
          <w:i/>
          <w:iCs/>
          <w:lang w:val="en-AU"/>
        </w:rPr>
        <w:t>Whitefriars</w:t>
      </w:r>
      <w:proofErr w:type="spellEnd"/>
      <w:r w:rsidRPr="00E36740">
        <w:rPr>
          <w:rFonts w:asciiTheme="majorHAnsi" w:hAnsiTheme="majorHAnsi"/>
          <w:bCs/>
          <w:i/>
          <w:iCs/>
          <w:lang w:val="en-AU"/>
        </w:rPr>
        <w:t xml:space="preserve"> College Inc.</w:t>
      </w:r>
    </w:p>
    <w:p w14:paraId="051644DA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Neil, C. &amp; Whiteley, S.  (2001). A Commitment to Change: The Logan Youth Education Project Report.  Report prepared for the Logan Education Working Party.</w:t>
      </w:r>
    </w:p>
    <w:p w14:paraId="425C0FD3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 xml:space="preserve">Neil, C. &amp; Whiteley, S.  (2001). Evaluation of the </w:t>
      </w:r>
      <w:proofErr w:type="gramStart"/>
      <w:r w:rsidRPr="00E36740">
        <w:rPr>
          <w:rFonts w:asciiTheme="majorHAnsi" w:hAnsiTheme="majorHAnsi"/>
          <w:bCs/>
          <w:i/>
          <w:iCs/>
          <w:lang w:val="en-AU"/>
        </w:rPr>
        <w:t>South East</w:t>
      </w:r>
      <w:proofErr w:type="gramEnd"/>
      <w:r w:rsidRPr="00E36740">
        <w:rPr>
          <w:rFonts w:asciiTheme="majorHAnsi" w:hAnsiTheme="majorHAnsi"/>
          <w:bCs/>
          <w:i/>
          <w:iCs/>
          <w:lang w:val="en-AU"/>
        </w:rPr>
        <w:t xml:space="preserve"> Queensland Golden Key Refugee Tutoring Program.  Report prepared for the Queensland Chapter of the Golden Key Society. </w:t>
      </w:r>
    </w:p>
    <w:p w14:paraId="60D7E712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 (2000). Persistence and retention of first year tertiary students in Queensland.  Report prepared for TEPA</w:t>
      </w:r>
    </w:p>
    <w:p w14:paraId="55C87A13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 xml:space="preserve">Whiteley, S. &amp; </w:t>
      </w:r>
      <w:proofErr w:type="spellStart"/>
      <w:r w:rsidRPr="00E36740">
        <w:rPr>
          <w:rFonts w:asciiTheme="majorHAnsi" w:hAnsiTheme="majorHAnsi"/>
          <w:bCs/>
          <w:i/>
          <w:iCs/>
          <w:lang w:val="en-AU"/>
        </w:rPr>
        <w:t>Skuja</w:t>
      </w:r>
      <w:proofErr w:type="spellEnd"/>
      <w:r w:rsidRPr="00E36740">
        <w:rPr>
          <w:rFonts w:asciiTheme="majorHAnsi" w:hAnsiTheme="majorHAnsi"/>
          <w:bCs/>
          <w:i/>
          <w:iCs/>
          <w:lang w:val="en-AU"/>
        </w:rPr>
        <w:t>, E. (2000).  Profile, performance and cost effectiveness of enabling courses and tertiary preparation programs.  Report submitted to DETYA.</w:t>
      </w:r>
    </w:p>
    <w:p w14:paraId="07001142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 xml:space="preserve">Whiteley, S. &amp; Neil, C. (2000).  Queensland Year 12 students’ experiences of access to information </w:t>
      </w:r>
      <w:r w:rsidRPr="00E36740">
        <w:rPr>
          <w:rFonts w:asciiTheme="majorHAnsi" w:hAnsiTheme="majorHAnsi"/>
          <w:bCs/>
          <w:i/>
          <w:iCs/>
          <w:lang w:val="en-AU"/>
        </w:rPr>
        <w:lastRenderedPageBreak/>
        <w:t>about post-school options: Are there equity issues?  Report prepared for TEPA.</w:t>
      </w:r>
    </w:p>
    <w:p w14:paraId="28A2C919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 (1999). Senior schooling and tertiary entrance:  Evaluation of the pre-service teacher training module.  Report prepared for TEPA.</w:t>
      </w:r>
    </w:p>
    <w:p w14:paraId="08099FCC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 (1998). TEPA resource feedback:  1998 new and updated publications.  Report prepared for TEPA.</w:t>
      </w:r>
    </w:p>
    <w:p w14:paraId="7444152C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 xml:space="preserve">Whiteley, S &amp; Porter, J. (1998). The longitudinal study on career decisions and pathway options:  Subject selection.  Report prepared for TEPA.  </w:t>
      </w:r>
    </w:p>
    <w:p w14:paraId="72ED1E6F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 (1998). TEPA resource feedback:  PowerPoint presentations.  Report prepared for TEPA.</w:t>
      </w:r>
    </w:p>
    <w:p w14:paraId="0DB5866F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 (1998). Stakeholder feedback on OPs and tertiary entrance:  the facts.  Report prepared for TEPA.</w:t>
      </w:r>
    </w:p>
    <w:p w14:paraId="07F2F86A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&amp; Field, C. (1997).  Evaluation of the Queensland Tertiary Admissions Centre telephone application pilot project.  TEPA Research Series.</w:t>
      </w:r>
    </w:p>
    <w:p w14:paraId="0F30B4CE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 (1997). Evaluation of the operation of regional Secondary</w:t>
      </w:r>
      <w:r w:rsidRPr="00E36740">
        <w:rPr>
          <w:rFonts w:asciiTheme="majorHAnsi" w:hAnsiTheme="majorHAnsi"/>
          <w:bCs/>
          <w:i/>
          <w:iCs/>
          <w:lang w:val="en-AU"/>
        </w:rPr>
        <w:noBreakHyphen/>
        <w:t>Tertiary Links Programs.  Report prepared for TEPA.</w:t>
      </w:r>
    </w:p>
    <w:p w14:paraId="5A950273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&amp; Field, C. (1997).  Evaluation of stakeholder perceptions of TEPA information materials.  Report prepared for TEPA.</w:t>
      </w:r>
    </w:p>
    <w:p w14:paraId="218BD7C9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r w:rsidRPr="00E36740">
        <w:rPr>
          <w:rFonts w:asciiTheme="majorHAnsi" w:hAnsiTheme="majorHAnsi"/>
          <w:bCs/>
          <w:i/>
          <w:iCs/>
          <w:lang w:val="en-AU"/>
        </w:rPr>
        <w:t>Whiteley, S. &amp; Cornwell, A. (1997).  Students’ experiences of the general first year in Arts/Architecture at The University of Queensland.  Report prepared for TEPA.</w:t>
      </w:r>
    </w:p>
    <w:p w14:paraId="0CE203FA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AU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AU"/>
        </w:rPr>
        <w:t xml:space="preserve">, B., Whiteley, S. &amp; Considine, G. (1996).  HSC </w:t>
      </w:r>
      <w:proofErr w:type="gramStart"/>
      <w:r w:rsidRPr="00E36740">
        <w:rPr>
          <w:rFonts w:asciiTheme="majorHAnsi" w:hAnsiTheme="majorHAnsi"/>
          <w:bCs/>
          <w:i/>
          <w:iCs/>
          <w:lang w:val="en-AU"/>
        </w:rPr>
        <w:t>students</w:t>
      </w:r>
      <w:proofErr w:type="gramEnd"/>
      <w:r w:rsidRPr="00E36740">
        <w:rPr>
          <w:rFonts w:asciiTheme="majorHAnsi" w:hAnsiTheme="majorHAnsi"/>
          <w:bCs/>
          <w:i/>
          <w:iCs/>
          <w:lang w:val="en-AU"/>
        </w:rPr>
        <w:t xml:space="preserve"> decisions about university and TAFE.  Report prepared for the Student Services Division of TAFE NSW.</w:t>
      </w:r>
    </w:p>
    <w:p w14:paraId="55BF4C03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AU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AU"/>
        </w:rPr>
        <w:t>, B. &amp; Whiteley, S. (1995). HSC students’ choices about tertiary education programs.  Report prepared for TAFE NSW.</w:t>
      </w:r>
    </w:p>
    <w:p w14:paraId="26D3DFCA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AU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AU"/>
        </w:rPr>
        <w:t>, B. &amp; Whiteley, S. (1995). Evaluation of team processes at Lever Rexona.  Report prepared for Lever Rexona Ltd.</w:t>
      </w:r>
    </w:p>
    <w:p w14:paraId="293D13EA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AU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AU"/>
        </w:rPr>
        <w:t>, B. &amp; Whiteley, S. (1994).  University admissions decision processes.  Report prepared for Universities Admissions Centre.</w:t>
      </w:r>
    </w:p>
    <w:p w14:paraId="2731AF15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AU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AU"/>
        </w:rPr>
        <w:t>, B. &amp; Whiteley, S. (1994).  Employee involvement in decision-making about training and related work attitudes, goals and intentions.  Report prepared for EOI Foods Ltd.</w:t>
      </w:r>
    </w:p>
    <w:p w14:paraId="38167F83" w14:textId="77777777" w:rsidR="00E36740" w:rsidRPr="00E36740" w:rsidRDefault="00E36740" w:rsidP="00E36740">
      <w:pPr>
        <w:pStyle w:val="DateAll"/>
        <w:tabs>
          <w:tab w:val="right" w:pos="10490"/>
        </w:tabs>
        <w:spacing w:before="0"/>
        <w:ind w:left="1701" w:right="1412"/>
        <w:jc w:val="left"/>
        <w:rPr>
          <w:rFonts w:asciiTheme="majorHAnsi" w:hAnsiTheme="majorHAnsi"/>
          <w:bCs/>
          <w:i/>
          <w:iCs/>
          <w:lang w:val="en-AU"/>
        </w:rPr>
      </w:pPr>
      <w:proofErr w:type="spellStart"/>
      <w:r w:rsidRPr="00E36740">
        <w:rPr>
          <w:rFonts w:asciiTheme="majorHAnsi" w:hAnsiTheme="majorHAnsi"/>
          <w:bCs/>
          <w:i/>
          <w:iCs/>
          <w:lang w:val="en-AU"/>
        </w:rPr>
        <w:t>Hesketh</w:t>
      </w:r>
      <w:proofErr w:type="spellEnd"/>
      <w:r w:rsidRPr="00E36740">
        <w:rPr>
          <w:rFonts w:asciiTheme="majorHAnsi" w:hAnsiTheme="majorHAnsi"/>
          <w:bCs/>
          <w:i/>
          <w:iCs/>
          <w:lang w:val="en-AU"/>
        </w:rPr>
        <w:t>, B. &amp; Whiteley, S. (1994).  Employee involvement in decision-making about training and related work attitudes, goals and intentions.  Report prepared for Lever Rexona Ltd.</w:t>
      </w:r>
    </w:p>
    <w:p w14:paraId="2710CF55" w14:textId="77777777" w:rsidR="000F06EA" w:rsidRDefault="000F06EA" w:rsidP="00B64C25">
      <w:pPr>
        <w:pStyle w:val="DateAll"/>
        <w:tabs>
          <w:tab w:val="clear" w:pos="7258"/>
          <w:tab w:val="right" w:pos="10490"/>
        </w:tabs>
        <w:spacing w:before="0"/>
        <w:ind w:left="1701" w:right="1412"/>
        <w:jc w:val="left"/>
        <w:rPr>
          <w:rFonts w:asciiTheme="majorHAnsi" w:hAnsiTheme="majorHAnsi"/>
          <w:lang w:val="en-AU"/>
        </w:rPr>
      </w:pPr>
    </w:p>
    <w:p w14:paraId="73C9BD7A" w14:textId="77777777" w:rsidR="00CC3E3A" w:rsidRDefault="00CC3E3A" w:rsidP="00B64C25">
      <w:pPr>
        <w:pStyle w:val="DateAll"/>
        <w:tabs>
          <w:tab w:val="clear" w:pos="7258"/>
          <w:tab w:val="right" w:pos="10490"/>
        </w:tabs>
        <w:spacing w:before="0"/>
        <w:ind w:left="1701" w:right="1412"/>
        <w:jc w:val="left"/>
        <w:rPr>
          <w:lang w:val="en-AU"/>
        </w:rPr>
      </w:pPr>
    </w:p>
    <w:sectPr w:rsidR="00CC3E3A" w:rsidSect="0038745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1" w:h="16817" w:code="9"/>
      <w:pgMar w:top="0" w:right="0" w:bottom="0" w:left="0" w:header="425" w:footer="709" w:gutter="0"/>
      <w:cols w:sep="1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6DB00" w14:textId="77777777" w:rsidR="00AF5500" w:rsidRDefault="00AF5500" w:rsidP="008F385D">
      <w:r>
        <w:separator/>
      </w:r>
    </w:p>
  </w:endnote>
  <w:endnote w:type="continuationSeparator" w:id="0">
    <w:p w14:paraId="2A28AA8A" w14:textId="77777777" w:rsidR="00AF5500" w:rsidRDefault="00AF5500" w:rsidP="008F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libri-Bold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F0A81" w14:textId="77777777" w:rsidR="00B0148B" w:rsidRDefault="00B0148B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8FCD0B" wp14:editId="16B9EF2C">
              <wp:simplePos x="0" y="0"/>
              <wp:positionH relativeFrom="column">
                <wp:posOffset>-51758</wp:posOffset>
              </wp:positionH>
              <wp:positionV relativeFrom="page">
                <wp:posOffset>10461578</wp:posOffset>
              </wp:positionV>
              <wp:extent cx="7675200" cy="255600"/>
              <wp:effectExtent l="0" t="0" r="254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200" cy="255600"/>
                      </a:xfrm>
                      <a:prstGeom prst="rect">
                        <a:avLst/>
                      </a:prstGeom>
                      <a:solidFill>
                        <a:srgbClr val="4079B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14755109" id="Rectangle 27" o:spid="_x0000_s1026" style="position:absolute;margin-left:-4.1pt;margin-top:823.75pt;width:604.35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" fillcolor="#4079b2" stroked="f"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3B0E" w14:textId="77777777" w:rsidR="00B0148B" w:rsidRDefault="00B0148B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23DDA0" wp14:editId="3FFA08CF">
              <wp:simplePos x="0" y="0"/>
              <wp:positionH relativeFrom="column">
                <wp:posOffset>-42378</wp:posOffset>
              </wp:positionH>
              <wp:positionV relativeFrom="page">
                <wp:posOffset>10443210</wp:posOffset>
              </wp:positionV>
              <wp:extent cx="7675200" cy="255600"/>
              <wp:effectExtent l="0" t="0" r="2540" b="0"/>
              <wp:wrapNone/>
              <wp:docPr id="1120" name="Rectangle 1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200" cy="255600"/>
                      </a:xfrm>
                      <a:prstGeom prst="rect">
                        <a:avLst/>
                      </a:prstGeom>
                      <a:solidFill>
                        <a:srgbClr val="4079B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385654C" id="Rectangle 1120" o:spid="_x0000_s1026" style="position:absolute;margin-left:-3.35pt;margin-top:822.3pt;width:604.35pt;height:2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" fillcolor="#4079b2" stroked="f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FE2C8" w14:textId="77777777" w:rsidR="00AF5500" w:rsidRDefault="00AF5500" w:rsidP="008F385D">
      <w:r>
        <w:separator/>
      </w:r>
    </w:p>
  </w:footnote>
  <w:footnote w:type="continuationSeparator" w:id="0">
    <w:p w14:paraId="5F2B101E" w14:textId="77777777" w:rsidR="00AF5500" w:rsidRDefault="00AF5500" w:rsidP="008F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D5D8" w14:textId="77777777" w:rsidR="00B0148B" w:rsidRPr="00C25E7A" w:rsidRDefault="00B0148B" w:rsidP="0095364C">
    <w:pPr>
      <w:rPr>
        <w:rFonts w:ascii="Lucida Sans" w:hAnsi="Lucida Sans"/>
        <w:sz w:val="84"/>
        <w:szCs w:val="84"/>
        <w:lang w:val="en-GB"/>
      </w:rPr>
    </w:pPr>
    <w:r w:rsidRPr="00504701">
      <w:rPr>
        <w:rFonts w:ascii="Lucida Sans" w:hAnsi="Lucida Sans"/>
        <w:noProof/>
        <w:sz w:val="60"/>
        <w:szCs w:val="60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35656" wp14:editId="06B3D219">
              <wp:simplePos x="0" y="0"/>
              <wp:positionH relativeFrom="column">
                <wp:posOffset>-48403</wp:posOffset>
              </wp:positionH>
              <wp:positionV relativeFrom="page">
                <wp:posOffset>0</wp:posOffset>
              </wp:positionV>
              <wp:extent cx="7718400" cy="432000"/>
              <wp:effectExtent l="0" t="0" r="0" b="6350"/>
              <wp:wrapNone/>
              <wp:docPr id="1121" name="Rectangle 1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8400" cy="432000"/>
                      </a:xfrm>
                      <a:prstGeom prst="rect">
                        <a:avLst/>
                      </a:prstGeom>
                      <a:solidFill>
                        <a:srgbClr val="4079B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04D9CE87" id="Rectangle 1121" o:spid="_x0000_s1026" style="position:absolute;margin-left:-3.8pt;margin-top:0;width:607.7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" fillcolor="#4079b2" stroked="f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9B61" w14:textId="77777777" w:rsidR="00B0148B" w:rsidRDefault="00B0148B">
    <w:r w:rsidRPr="00CF7B27">
      <w:rPr>
        <w:rFonts w:ascii="Lucida Sans" w:hAnsi="Lucida Sans"/>
        <w:noProof/>
        <w:sz w:val="68"/>
        <w:szCs w:val="68"/>
        <w:lang w:val="en-AU"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6192C18" wp14:editId="3EBD8F01">
              <wp:simplePos x="0" y="0"/>
              <wp:positionH relativeFrom="column">
                <wp:posOffset>-119524</wp:posOffset>
              </wp:positionH>
              <wp:positionV relativeFrom="page">
                <wp:posOffset>0</wp:posOffset>
              </wp:positionV>
              <wp:extent cx="7801200" cy="432000"/>
              <wp:effectExtent l="0" t="0" r="9525" b="635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1200" cy="432000"/>
                      </a:xfrm>
                      <a:prstGeom prst="rect">
                        <a:avLst/>
                      </a:prstGeom>
                      <a:solidFill>
                        <a:srgbClr val="4079B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11698B09" id="Rectangle 43" o:spid="_x0000_s1026" style="position:absolute;margin-left:-9.4pt;margin-top:0;width:614.25pt;height:3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" fillcolor="#4079b2" stroked="f">
              <w10:wrap anchory="page"/>
            </v:rect>
          </w:pict>
        </mc:Fallback>
      </mc:AlternateContent>
    </w:r>
  </w:p>
  <w:p w14:paraId="3F9EA56A" w14:textId="77777777" w:rsidR="00B0148B" w:rsidRDefault="00B0148B" w:rsidP="00FF2C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5pt;height:45pt" o:bullet="t">
        <v:imagedata r:id="rId1" o:title="bullet_triangleCorner"/>
      </v:shape>
    </w:pict>
  </w:numPicBullet>
  <w:numPicBullet w:numPicBulletId="1">
    <w:pict>
      <v:shape id="_x0000_i1048" type="#_x0000_t75" style="width:468.6pt;height:468.6pt" o:bullet="t">
        <v:imagedata r:id="rId2" o:title="dash bullet"/>
      </v:shape>
    </w:pict>
  </w:numPicBullet>
  <w:numPicBullet w:numPicBulletId="2">
    <w:pict>
      <v:shape id="_x0000_i1049" type="#_x0000_t75" style="width:15pt;height:13.2pt;visibility:visible;mso-wrap-style:square" o:bullet="t">
        <v:imagedata r:id="rId3" o:title=""/>
      </v:shape>
    </w:pict>
  </w:numPicBullet>
  <w:abstractNum w:abstractNumId="0" w15:restartNumberingAfterBreak="0">
    <w:nsid w:val="05CC0927"/>
    <w:multiLevelType w:val="hybridMultilevel"/>
    <w:tmpl w:val="1B26066C"/>
    <w:lvl w:ilvl="0" w:tplc="B608D5CA">
      <w:start w:val="1"/>
      <w:numFmt w:val="bullet"/>
      <w:pStyle w:val="KeySkillsStrongerSkills"/>
      <w:lvlText w:val=""/>
      <w:lvlPicBulletId w:val="0"/>
      <w:lvlJc w:val="left"/>
      <w:pPr>
        <w:ind w:left="943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" w15:restartNumberingAfterBreak="0">
    <w:nsid w:val="335D428A"/>
    <w:multiLevelType w:val="hybridMultilevel"/>
    <w:tmpl w:val="DFFEC6F4"/>
    <w:lvl w:ilvl="0" w:tplc="62D62914">
      <w:start w:val="1"/>
      <w:numFmt w:val="bullet"/>
      <w:lvlText w:null="1"/>
      <w:lvlJc w:val="left"/>
      <w:pPr>
        <w:tabs>
          <w:tab w:val="num" w:pos="2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3A5B"/>
    <w:multiLevelType w:val="hybridMultilevel"/>
    <w:tmpl w:val="2B3C102E"/>
    <w:lvl w:ilvl="0" w:tplc="FCF4D4D0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83C8D"/>
    <w:multiLevelType w:val="hybridMultilevel"/>
    <w:tmpl w:val="B810C6F4"/>
    <w:lvl w:ilvl="0" w:tplc="033C971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374ED"/>
    <w:multiLevelType w:val="multilevel"/>
    <w:tmpl w:val="362A3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D"/>
    <w:rsid w:val="00007C71"/>
    <w:rsid w:val="00023FBD"/>
    <w:rsid w:val="00031096"/>
    <w:rsid w:val="00035F75"/>
    <w:rsid w:val="00037B75"/>
    <w:rsid w:val="00050322"/>
    <w:rsid w:val="00050EDC"/>
    <w:rsid w:val="00056D6F"/>
    <w:rsid w:val="00065D49"/>
    <w:rsid w:val="00070A14"/>
    <w:rsid w:val="000829F9"/>
    <w:rsid w:val="0009623C"/>
    <w:rsid w:val="00097175"/>
    <w:rsid w:val="000A3D17"/>
    <w:rsid w:val="000A6615"/>
    <w:rsid w:val="000B1B90"/>
    <w:rsid w:val="000B4ED0"/>
    <w:rsid w:val="000C110D"/>
    <w:rsid w:val="000C3A14"/>
    <w:rsid w:val="000C3B9E"/>
    <w:rsid w:val="000C7379"/>
    <w:rsid w:val="000C7425"/>
    <w:rsid w:val="000D6A61"/>
    <w:rsid w:val="000E6D4A"/>
    <w:rsid w:val="000F06EA"/>
    <w:rsid w:val="000F63BB"/>
    <w:rsid w:val="001028A7"/>
    <w:rsid w:val="00102DAE"/>
    <w:rsid w:val="00111134"/>
    <w:rsid w:val="00117DA4"/>
    <w:rsid w:val="0012047C"/>
    <w:rsid w:val="00124B15"/>
    <w:rsid w:val="00126197"/>
    <w:rsid w:val="00127B98"/>
    <w:rsid w:val="00134089"/>
    <w:rsid w:val="001357B5"/>
    <w:rsid w:val="001410C7"/>
    <w:rsid w:val="00141F2B"/>
    <w:rsid w:val="00147965"/>
    <w:rsid w:val="00151114"/>
    <w:rsid w:val="00152B3F"/>
    <w:rsid w:val="00156DF8"/>
    <w:rsid w:val="00160355"/>
    <w:rsid w:val="00160C5A"/>
    <w:rsid w:val="00164AB0"/>
    <w:rsid w:val="00165614"/>
    <w:rsid w:val="00165777"/>
    <w:rsid w:val="00171462"/>
    <w:rsid w:val="00182A02"/>
    <w:rsid w:val="00184B6F"/>
    <w:rsid w:val="0019158D"/>
    <w:rsid w:val="00191FBC"/>
    <w:rsid w:val="001A2BCF"/>
    <w:rsid w:val="001A33EE"/>
    <w:rsid w:val="001A3CD0"/>
    <w:rsid w:val="001B1AE0"/>
    <w:rsid w:val="001B56DF"/>
    <w:rsid w:val="001C32EB"/>
    <w:rsid w:val="001C393F"/>
    <w:rsid w:val="001D7A6F"/>
    <w:rsid w:val="001D7F08"/>
    <w:rsid w:val="001E6E7C"/>
    <w:rsid w:val="0020186D"/>
    <w:rsid w:val="00204B14"/>
    <w:rsid w:val="00210DCE"/>
    <w:rsid w:val="00216DE2"/>
    <w:rsid w:val="00221096"/>
    <w:rsid w:val="00221B2B"/>
    <w:rsid w:val="00227536"/>
    <w:rsid w:val="00231DED"/>
    <w:rsid w:val="002544BC"/>
    <w:rsid w:val="00271658"/>
    <w:rsid w:val="00271854"/>
    <w:rsid w:val="00284DA9"/>
    <w:rsid w:val="002A2E20"/>
    <w:rsid w:val="002B19D2"/>
    <w:rsid w:val="002B2826"/>
    <w:rsid w:val="002B4D27"/>
    <w:rsid w:val="002C07F1"/>
    <w:rsid w:val="002C1B89"/>
    <w:rsid w:val="002D1B7F"/>
    <w:rsid w:val="002E556F"/>
    <w:rsid w:val="002F3BF1"/>
    <w:rsid w:val="002F645B"/>
    <w:rsid w:val="00304D3E"/>
    <w:rsid w:val="00305FBA"/>
    <w:rsid w:val="0031534F"/>
    <w:rsid w:val="0032078D"/>
    <w:rsid w:val="0033250D"/>
    <w:rsid w:val="00340A77"/>
    <w:rsid w:val="003424D3"/>
    <w:rsid w:val="00344951"/>
    <w:rsid w:val="00345C63"/>
    <w:rsid w:val="00347EDE"/>
    <w:rsid w:val="00365036"/>
    <w:rsid w:val="00370134"/>
    <w:rsid w:val="00370F7A"/>
    <w:rsid w:val="00373F7A"/>
    <w:rsid w:val="00380386"/>
    <w:rsid w:val="0038745A"/>
    <w:rsid w:val="0039264B"/>
    <w:rsid w:val="003A26A0"/>
    <w:rsid w:val="003B0709"/>
    <w:rsid w:val="003B6C2C"/>
    <w:rsid w:val="003C3CBC"/>
    <w:rsid w:val="003C655C"/>
    <w:rsid w:val="003D2B97"/>
    <w:rsid w:val="003D47F4"/>
    <w:rsid w:val="003D509E"/>
    <w:rsid w:val="003E4A8D"/>
    <w:rsid w:val="003F4438"/>
    <w:rsid w:val="00401B48"/>
    <w:rsid w:val="00415A07"/>
    <w:rsid w:val="0041625A"/>
    <w:rsid w:val="00417A76"/>
    <w:rsid w:val="00424788"/>
    <w:rsid w:val="00441932"/>
    <w:rsid w:val="00443825"/>
    <w:rsid w:val="00451945"/>
    <w:rsid w:val="004710B1"/>
    <w:rsid w:val="004723F5"/>
    <w:rsid w:val="0048515D"/>
    <w:rsid w:val="0049025A"/>
    <w:rsid w:val="00490B86"/>
    <w:rsid w:val="0049160B"/>
    <w:rsid w:val="00493B5C"/>
    <w:rsid w:val="00493E04"/>
    <w:rsid w:val="00495C08"/>
    <w:rsid w:val="00496E15"/>
    <w:rsid w:val="004A1B26"/>
    <w:rsid w:val="004A7B95"/>
    <w:rsid w:val="004B40D7"/>
    <w:rsid w:val="004B72F3"/>
    <w:rsid w:val="004C31EB"/>
    <w:rsid w:val="004D07BD"/>
    <w:rsid w:val="004D0C73"/>
    <w:rsid w:val="004D1A79"/>
    <w:rsid w:val="004D6201"/>
    <w:rsid w:val="004E3991"/>
    <w:rsid w:val="00504701"/>
    <w:rsid w:val="00510528"/>
    <w:rsid w:val="00512350"/>
    <w:rsid w:val="0051615B"/>
    <w:rsid w:val="00534B39"/>
    <w:rsid w:val="00535F83"/>
    <w:rsid w:val="005479C0"/>
    <w:rsid w:val="005611CB"/>
    <w:rsid w:val="005615DC"/>
    <w:rsid w:val="0056164C"/>
    <w:rsid w:val="00566363"/>
    <w:rsid w:val="0057287D"/>
    <w:rsid w:val="0058166E"/>
    <w:rsid w:val="005825BF"/>
    <w:rsid w:val="00583A4B"/>
    <w:rsid w:val="0059031D"/>
    <w:rsid w:val="005948B9"/>
    <w:rsid w:val="0059522E"/>
    <w:rsid w:val="0059797E"/>
    <w:rsid w:val="005A71CC"/>
    <w:rsid w:val="005C047A"/>
    <w:rsid w:val="005C1815"/>
    <w:rsid w:val="005D387F"/>
    <w:rsid w:val="005E1718"/>
    <w:rsid w:val="005E5B12"/>
    <w:rsid w:val="005E5CEA"/>
    <w:rsid w:val="005F2179"/>
    <w:rsid w:val="005F749D"/>
    <w:rsid w:val="005F7EC5"/>
    <w:rsid w:val="0060365D"/>
    <w:rsid w:val="0060495F"/>
    <w:rsid w:val="00615B27"/>
    <w:rsid w:val="00620510"/>
    <w:rsid w:val="00632D5E"/>
    <w:rsid w:val="006449FC"/>
    <w:rsid w:val="00651CB2"/>
    <w:rsid w:val="00653222"/>
    <w:rsid w:val="00654027"/>
    <w:rsid w:val="00665246"/>
    <w:rsid w:val="006729BD"/>
    <w:rsid w:val="006828A9"/>
    <w:rsid w:val="00685D53"/>
    <w:rsid w:val="00694FC9"/>
    <w:rsid w:val="0069552A"/>
    <w:rsid w:val="006B1284"/>
    <w:rsid w:val="006B3F6F"/>
    <w:rsid w:val="006B4AD8"/>
    <w:rsid w:val="006B7F93"/>
    <w:rsid w:val="006D32DE"/>
    <w:rsid w:val="006E1A7A"/>
    <w:rsid w:val="006E48A6"/>
    <w:rsid w:val="006E708E"/>
    <w:rsid w:val="00700CD7"/>
    <w:rsid w:val="00710C7B"/>
    <w:rsid w:val="007157BA"/>
    <w:rsid w:val="0072246D"/>
    <w:rsid w:val="00725E1A"/>
    <w:rsid w:val="00736494"/>
    <w:rsid w:val="007429B5"/>
    <w:rsid w:val="00743F1A"/>
    <w:rsid w:val="00746812"/>
    <w:rsid w:val="0076063D"/>
    <w:rsid w:val="007712DB"/>
    <w:rsid w:val="00780C71"/>
    <w:rsid w:val="007824EB"/>
    <w:rsid w:val="00785377"/>
    <w:rsid w:val="007914A1"/>
    <w:rsid w:val="007A252D"/>
    <w:rsid w:val="007B27EA"/>
    <w:rsid w:val="007C0EAB"/>
    <w:rsid w:val="007C11BC"/>
    <w:rsid w:val="007C2D3F"/>
    <w:rsid w:val="007C624E"/>
    <w:rsid w:val="007C6A6A"/>
    <w:rsid w:val="007E13BA"/>
    <w:rsid w:val="007E199F"/>
    <w:rsid w:val="007E39D8"/>
    <w:rsid w:val="007F201B"/>
    <w:rsid w:val="0080778E"/>
    <w:rsid w:val="00814121"/>
    <w:rsid w:val="008165AC"/>
    <w:rsid w:val="008216AA"/>
    <w:rsid w:val="0082270C"/>
    <w:rsid w:val="0084181B"/>
    <w:rsid w:val="00842B71"/>
    <w:rsid w:val="00843D36"/>
    <w:rsid w:val="00844C47"/>
    <w:rsid w:val="00844F15"/>
    <w:rsid w:val="0085691E"/>
    <w:rsid w:val="00857F99"/>
    <w:rsid w:val="00882209"/>
    <w:rsid w:val="00884CA4"/>
    <w:rsid w:val="00896196"/>
    <w:rsid w:val="00896F48"/>
    <w:rsid w:val="008A310A"/>
    <w:rsid w:val="008A6D5D"/>
    <w:rsid w:val="008B69BA"/>
    <w:rsid w:val="008C74E7"/>
    <w:rsid w:val="008D3499"/>
    <w:rsid w:val="008D4478"/>
    <w:rsid w:val="008D5EC1"/>
    <w:rsid w:val="008E39D6"/>
    <w:rsid w:val="008F385D"/>
    <w:rsid w:val="00900DEA"/>
    <w:rsid w:val="00911DE7"/>
    <w:rsid w:val="00915B4D"/>
    <w:rsid w:val="00926B9A"/>
    <w:rsid w:val="009440B7"/>
    <w:rsid w:val="0095012F"/>
    <w:rsid w:val="0095364C"/>
    <w:rsid w:val="009606C7"/>
    <w:rsid w:val="009777D4"/>
    <w:rsid w:val="009974E5"/>
    <w:rsid w:val="009A07C9"/>
    <w:rsid w:val="009A4CB3"/>
    <w:rsid w:val="009B14EF"/>
    <w:rsid w:val="009B2181"/>
    <w:rsid w:val="009E27DD"/>
    <w:rsid w:val="009E2839"/>
    <w:rsid w:val="009E4D6D"/>
    <w:rsid w:val="009F2858"/>
    <w:rsid w:val="009F3DF9"/>
    <w:rsid w:val="00A024B0"/>
    <w:rsid w:val="00A1042A"/>
    <w:rsid w:val="00A163FE"/>
    <w:rsid w:val="00A17BA0"/>
    <w:rsid w:val="00A2365A"/>
    <w:rsid w:val="00A23ECA"/>
    <w:rsid w:val="00A457AE"/>
    <w:rsid w:val="00A56B7C"/>
    <w:rsid w:val="00A709E4"/>
    <w:rsid w:val="00A70EF7"/>
    <w:rsid w:val="00A74E66"/>
    <w:rsid w:val="00A769F3"/>
    <w:rsid w:val="00A80F42"/>
    <w:rsid w:val="00A83022"/>
    <w:rsid w:val="00A83398"/>
    <w:rsid w:val="00A86ACF"/>
    <w:rsid w:val="00A86FB2"/>
    <w:rsid w:val="00A961BF"/>
    <w:rsid w:val="00AA4D00"/>
    <w:rsid w:val="00AB6B8C"/>
    <w:rsid w:val="00AC2D80"/>
    <w:rsid w:val="00AE3BE1"/>
    <w:rsid w:val="00AF2C3F"/>
    <w:rsid w:val="00AF35E1"/>
    <w:rsid w:val="00AF5500"/>
    <w:rsid w:val="00AF724B"/>
    <w:rsid w:val="00B0148B"/>
    <w:rsid w:val="00B0443A"/>
    <w:rsid w:val="00B15A49"/>
    <w:rsid w:val="00B26F7C"/>
    <w:rsid w:val="00B30053"/>
    <w:rsid w:val="00B315DA"/>
    <w:rsid w:val="00B34211"/>
    <w:rsid w:val="00B351A6"/>
    <w:rsid w:val="00B41DFC"/>
    <w:rsid w:val="00B51C60"/>
    <w:rsid w:val="00B64C25"/>
    <w:rsid w:val="00B71588"/>
    <w:rsid w:val="00B82226"/>
    <w:rsid w:val="00B949D9"/>
    <w:rsid w:val="00BB1C8B"/>
    <w:rsid w:val="00BB298B"/>
    <w:rsid w:val="00BB2D87"/>
    <w:rsid w:val="00BB5E80"/>
    <w:rsid w:val="00BB7354"/>
    <w:rsid w:val="00BC02AE"/>
    <w:rsid w:val="00BD15F5"/>
    <w:rsid w:val="00BF0391"/>
    <w:rsid w:val="00BF7BA0"/>
    <w:rsid w:val="00C016A5"/>
    <w:rsid w:val="00C06CD3"/>
    <w:rsid w:val="00C15471"/>
    <w:rsid w:val="00C20B7B"/>
    <w:rsid w:val="00C24BE8"/>
    <w:rsid w:val="00C25E7A"/>
    <w:rsid w:val="00C25F55"/>
    <w:rsid w:val="00C341C1"/>
    <w:rsid w:val="00C35B18"/>
    <w:rsid w:val="00C3680F"/>
    <w:rsid w:val="00C41C79"/>
    <w:rsid w:val="00C4318C"/>
    <w:rsid w:val="00C469B8"/>
    <w:rsid w:val="00C50B8A"/>
    <w:rsid w:val="00C53F7E"/>
    <w:rsid w:val="00C5539B"/>
    <w:rsid w:val="00C62ACD"/>
    <w:rsid w:val="00C66F35"/>
    <w:rsid w:val="00C847D5"/>
    <w:rsid w:val="00C879EF"/>
    <w:rsid w:val="00C964D5"/>
    <w:rsid w:val="00CB1687"/>
    <w:rsid w:val="00CB4773"/>
    <w:rsid w:val="00CC3E3A"/>
    <w:rsid w:val="00CC52A1"/>
    <w:rsid w:val="00CC72E9"/>
    <w:rsid w:val="00CC77F8"/>
    <w:rsid w:val="00CD4366"/>
    <w:rsid w:val="00CD64AA"/>
    <w:rsid w:val="00CE2B75"/>
    <w:rsid w:val="00CE414A"/>
    <w:rsid w:val="00CF4306"/>
    <w:rsid w:val="00CF62D5"/>
    <w:rsid w:val="00CF7B27"/>
    <w:rsid w:val="00D0238B"/>
    <w:rsid w:val="00D06C5A"/>
    <w:rsid w:val="00D21899"/>
    <w:rsid w:val="00D35F03"/>
    <w:rsid w:val="00D50F34"/>
    <w:rsid w:val="00D5389B"/>
    <w:rsid w:val="00D55C15"/>
    <w:rsid w:val="00D5642E"/>
    <w:rsid w:val="00D57B97"/>
    <w:rsid w:val="00D60084"/>
    <w:rsid w:val="00D62D89"/>
    <w:rsid w:val="00D77DC3"/>
    <w:rsid w:val="00D92373"/>
    <w:rsid w:val="00D92A72"/>
    <w:rsid w:val="00DA6423"/>
    <w:rsid w:val="00DB0E29"/>
    <w:rsid w:val="00DC0297"/>
    <w:rsid w:val="00DC02C1"/>
    <w:rsid w:val="00DC2714"/>
    <w:rsid w:val="00DD13D1"/>
    <w:rsid w:val="00DD60C9"/>
    <w:rsid w:val="00DE2AEA"/>
    <w:rsid w:val="00DF338B"/>
    <w:rsid w:val="00DF4766"/>
    <w:rsid w:val="00DF6A7E"/>
    <w:rsid w:val="00E0438A"/>
    <w:rsid w:val="00E06412"/>
    <w:rsid w:val="00E164A1"/>
    <w:rsid w:val="00E175D5"/>
    <w:rsid w:val="00E31331"/>
    <w:rsid w:val="00E36740"/>
    <w:rsid w:val="00E415ED"/>
    <w:rsid w:val="00E62ECB"/>
    <w:rsid w:val="00E6456F"/>
    <w:rsid w:val="00E71C61"/>
    <w:rsid w:val="00E72E3C"/>
    <w:rsid w:val="00E75D05"/>
    <w:rsid w:val="00E802A9"/>
    <w:rsid w:val="00E84509"/>
    <w:rsid w:val="00E91454"/>
    <w:rsid w:val="00EA0B36"/>
    <w:rsid w:val="00EA32E2"/>
    <w:rsid w:val="00EB5B0B"/>
    <w:rsid w:val="00EC443F"/>
    <w:rsid w:val="00EE5B3B"/>
    <w:rsid w:val="00EE5F3F"/>
    <w:rsid w:val="00EE6F30"/>
    <w:rsid w:val="00EE7C91"/>
    <w:rsid w:val="00EF0414"/>
    <w:rsid w:val="00EF4DB5"/>
    <w:rsid w:val="00F00104"/>
    <w:rsid w:val="00F03803"/>
    <w:rsid w:val="00F07F8F"/>
    <w:rsid w:val="00F23DC1"/>
    <w:rsid w:val="00F27650"/>
    <w:rsid w:val="00F43640"/>
    <w:rsid w:val="00F4384F"/>
    <w:rsid w:val="00F51217"/>
    <w:rsid w:val="00F523F0"/>
    <w:rsid w:val="00F535D8"/>
    <w:rsid w:val="00F54F59"/>
    <w:rsid w:val="00F57A95"/>
    <w:rsid w:val="00F60AA8"/>
    <w:rsid w:val="00F62305"/>
    <w:rsid w:val="00F6521A"/>
    <w:rsid w:val="00F67DC4"/>
    <w:rsid w:val="00F76C18"/>
    <w:rsid w:val="00F853CA"/>
    <w:rsid w:val="00F85D6D"/>
    <w:rsid w:val="00F86A83"/>
    <w:rsid w:val="00F86EDC"/>
    <w:rsid w:val="00FA33A1"/>
    <w:rsid w:val="00FA483C"/>
    <w:rsid w:val="00FA7DEA"/>
    <w:rsid w:val="00FB2F42"/>
    <w:rsid w:val="00FB6FF5"/>
    <w:rsid w:val="00FC06E3"/>
    <w:rsid w:val="00FD23FB"/>
    <w:rsid w:val="00FD58ED"/>
    <w:rsid w:val="00FD63AC"/>
    <w:rsid w:val="00FE4E3E"/>
    <w:rsid w:val="00FF0EB7"/>
    <w:rsid w:val="00FF11C6"/>
    <w:rsid w:val="00FF2CD2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5F6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GreyInfos">
    <w:name w:val="Header/Grey Infos"/>
    <w:basedOn w:val="Normal"/>
    <w:link w:val="HeaderGreyInfosChar"/>
    <w:qFormat/>
    <w:rsid w:val="00CC72E9"/>
    <w:pPr>
      <w:widowControl w:val="0"/>
      <w:tabs>
        <w:tab w:val="left" w:pos="1985"/>
      </w:tabs>
      <w:suppressAutoHyphens/>
      <w:autoSpaceDE w:val="0"/>
      <w:autoSpaceDN w:val="0"/>
      <w:adjustRightInd w:val="0"/>
      <w:spacing w:line="312" w:lineRule="auto"/>
      <w:ind w:left="1276"/>
      <w:textAlignment w:val="center"/>
    </w:pPr>
    <w:rPr>
      <w:rFonts w:ascii="Calibri" w:eastAsia="MS-Mincho" w:hAnsi="Calibri" w:cs="Calibri"/>
      <w:color w:val="A6A6A6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3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85D"/>
  </w:style>
  <w:style w:type="paragraph" w:customStyle="1" w:styleId="BasicParagraph">
    <w:name w:val="[Basic Paragraph]"/>
    <w:basedOn w:val="Normal"/>
    <w:link w:val="BasicParagraphChar"/>
    <w:uiPriority w:val="99"/>
    <w:rsid w:val="008F38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TitleSectionsKeySkillsOnly">
    <w:name w:val="Title: Sections / Key Skills Only"/>
    <w:basedOn w:val="TitleSectionTitles"/>
    <w:link w:val="TitleSectionsKeySkillsOnlyChar"/>
    <w:qFormat/>
    <w:rsid w:val="00FD58ED"/>
    <w:pPr>
      <w:spacing w:after="240"/>
    </w:pPr>
  </w:style>
  <w:style w:type="character" w:customStyle="1" w:styleId="Heading3Char">
    <w:name w:val="Heading 3 Char"/>
    <w:aliases w:val="Contact Info Char"/>
    <w:uiPriority w:val="99"/>
    <w:rsid w:val="008F385D"/>
    <w:rPr>
      <w:rFonts w:ascii="MS-Mincho" w:eastAsia="MS-Mincho" w:cs="MS-Mincho"/>
      <w:caps/>
      <w:color w:val="FFFFFF"/>
      <w:w w:val="1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6F"/>
    <w:rPr>
      <w:rFonts w:ascii="Lucida Grande" w:hAnsi="Lucida Grande" w:cs="Lucida Grande"/>
      <w:sz w:val="18"/>
      <w:szCs w:val="18"/>
    </w:rPr>
  </w:style>
  <w:style w:type="paragraph" w:customStyle="1" w:styleId="StandardBodyText">
    <w:name w:val="Standard Body Text"/>
    <w:basedOn w:val="Normal"/>
    <w:link w:val="StandardBodyTextChar"/>
    <w:uiPriority w:val="99"/>
    <w:rsid w:val="00F67DC4"/>
    <w:pPr>
      <w:widowControl w:val="0"/>
      <w:autoSpaceDE w:val="0"/>
      <w:autoSpaceDN w:val="0"/>
      <w:adjustRightInd w:val="0"/>
      <w:spacing w:before="113" w:line="280" w:lineRule="atLeast"/>
      <w:ind w:left="567"/>
      <w:jc w:val="both"/>
      <w:textAlignment w:val="center"/>
    </w:pPr>
    <w:rPr>
      <w:rFonts w:asciiTheme="majorHAnsi" w:hAnsiTheme="majorHAnsi" w:cs="Calibri"/>
      <w:sz w:val="22"/>
      <w:szCs w:val="22"/>
      <w:lang w:val="en-GB"/>
    </w:rPr>
  </w:style>
  <w:style w:type="paragraph" w:customStyle="1" w:styleId="DateAll">
    <w:name w:val="Date All"/>
    <w:basedOn w:val="BasicParagraph"/>
    <w:link w:val="DateAllChar"/>
    <w:qFormat/>
    <w:rsid w:val="000E6D4A"/>
    <w:pPr>
      <w:tabs>
        <w:tab w:val="left" w:pos="7258"/>
      </w:tabs>
      <w:spacing w:before="120"/>
      <w:jc w:val="right"/>
    </w:pPr>
    <w:rPr>
      <w:rFonts w:ascii="Calibri" w:hAnsi="Calibri" w:cs="Calibri"/>
      <w:color w:val="474746"/>
      <w:sz w:val="22"/>
      <w:szCs w:val="22"/>
    </w:rPr>
  </w:style>
  <w:style w:type="paragraph" w:customStyle="1" w:styleId="TitleResumeSectionsTitles">
    <w:name w:val="Title: Resume Sections Titles"/>
    <w:basedOn w:val="Normal"/>
    <w:link w:val="TitleResumeSectionsTitlesChar"/>
    <w:uiPriority w:val="99"/>
    <w:rsid w:val="005A71CC"/>
    <w:pPr>
      <w:widowControl w:val="0"/>
      <w:autoSpaceDE w:val="0"/>
      <w:autoSpaceDN w:val="0"/>
      <w:adjustRightInd w:val="0"/>
      <w:spacing w:before="360"/>
      <w:ind w:left="284"/>
      <w:textAlignment w:val="center"/>
    </w:pPr>
    <w:rPr>
      <w:rFonts w:ascii="Arial" w:hAnsi="Arial" w:cs="Arial"/>
      <w:color w:val="6D6E71"/>
      <w:spacing w:val="4"/>
      <w:sz w:val="38"/>
      <w:szCs w:val="38"/>
      <w:lang w:val="en-GB"/>
    </w:rPr>
  </w:style>
  <w:style w:type="character" w:customStyle="1" w:styleId="JobTitle">
    <w:name w:val="Job Title"/>
    <w:basedOn w:val="DefaultParagraphFont"/>
    <w:uiPriority w:val="1"/>
    <w:qFormat/>
    <w:rsid w:val="00DB0E29"/>
    <w:rPr>
      <w:rFonts w:asciiTheme="majorHAnsi" w:hAnsiTheme="majorHAnsi" w:cs="Calibri-Bold"/>
      <w:b/>
      <w:bCs/>
      <w:color w:val="auto"/>
      <w:sz w:val="24"/>
    </w:rPr>
  </w:style>
  <w:style w:type="character" w:customStyle="1" w:styleId="CompanyName">
    <w:name w:val="Company Name"/>
    <w:uiPriority w:val="1"/>
    <w:qFormat/>
    <w:rsid w:val="00C5539B"/>
    <w:rPr>
      <w:rFonts w:ascii="Calibri" w:hAnsi="Calibri" w:cs="Calibri-BoldItalic"/>
      <w:b/>
      <w:bCs/>
      <w:i/>
      <w:iCs/>
      <w:color w:val="939598"/>
      <w:sz w:val="22"/>
    </w:rPr>
  </w:style>
  <w:style w:type="paragraph" w:customStyle="1" w:styleId="Education">
    <w:name w:val="Education"/>
    <w:basedOn w:val="BasicParagraph"/>
    <w:qFormat/>
    <w:rsid w:val="00884CA4"/>
    <w:pPr>
      <w:tabs>
        <w:tab w:val="left" w:pos="6237"/>
      </w:tabs>
      <w:spacing w:before="120"/>
    </w:pPr>
    <w:rPr>
      <w:rFonts w:ascii="Calibri-Bold" w:hAnsi="Calibri-Bold" w:cs="Calibri-Bold"/>
      <w:b/>
      <w:bCs/>
    </w:rPr>
  </w:style>
  <w:style w:type="character" w:customStyle="1" w:styleId="University">
    <w:name w:val="University"/>
    <w:basedOn w:val="DefaultParagraphFont"/>
    <w:uiPriority w:val="1"/>
    <w:qFormat/>
    <w:rsid w:val="00884CA4"/>
    <w:rPr>
      <w:rFonts w:ascii="Calibri" w:hAnsi="Calibri" w:cs="Calibri"/>
      <w:color w:val="3F3F3F"/>
      <w:sz w:val="22"/>
      <w:szCs w:val="22"/>
    </w:rPr>
  </w:style>
  <w:style w:type="paragraph" w:customStyle="1" w:styleId="BulletList">
    <w:name w:val="Bullet List"/>
    <w:basedOn w:val="StandardBodyText"/>
    <w:link w:val="BulletListChar"/>
    <w:uiPriority w:val="99"/>
    <w:rsid w:val="002B19D2"/>
    <w:pPr>
      <w:numPr>
        <w:numId w:val="1"/>
      </w:numPr>
      <w:ind w:left="993" w:hanging="425"/>
    </w:pPr>
  </w:style>
  <w:style w:type="paragraph" w:customStyle="1" w:styleId="Achievements">
    <w:name w:val="Achievements"/>
    <w:basedOn w:val="StandardBodyText"/>
    <w:qFormat/>
    <w:rsid w:val="007E199F"/>
    <w:pPr>
      <w:spacing w:before="140" w:after="60"/>
    </w:pPr>
    <w:rPr>
      <w:b/>
      <w:caps/>
      <w:color w:val="4079B2"/>
    </w:rPr>
  </w:style>
  <w:style w:type="paragraph" w:customStyle="1" w:styleId="AdditionalInformation">
    <w:name w:val="Additional Information"/>
    <w:basedOn w:val="BasicParagraph"/>
    <w:qFormat/>
    <w:rsid w:val="00C964D5"/>
    <w:pPr>
      <w:spacing w:before="100" w:line="240" w:lineRule="auto"/>
      <w:ind w:left="567"/>
    </w:pPr>
    <w:rPr>
      <w:rFonts w:asciiTheme="majorHAnsi" w:hAnsiTheme="majorHAnsi" w:cs="Calibri-Bold"/>
      <w:b/>
      <w:bCs/>
      <w:color w:val="auto"/>
      <w:sz w:val="22"/>
    </w:rPr>
  </w:style>
  <w:style w:type="paragraph" w:customStyle="1" w:styleId="Keyskills">
    <w:name w:val="Key skills"/>
    <w:basedOn w:val="Normal"/>
    <w:uiPriority w:val="99"/>
    <w:rsid w:val="00EE5F3F"/>
    <w:pPr>
      <w:widowControl w:val="0"/>
      <w:suppressAutoHyphens/>
      <w:autoSpaceDE w:val="0"/>
      <w:autoSpaceDN w:val="0"/>
      <w:adjustRightInd w:val="0"/>
      <w:spacing w:before="40" w:line="240" w:lineRule="atLeast"/>
      <w:ind w:left="851"/>
      <w:textAlignment w:val="center"/>
    </w:pPr>
    <w:rPr>
      <w:rFonts w:ascii="Calibri" w:hAnsi="Calibri" w:cs="Calibri"/>
      <w:color w:val="777877"/>
      <w:sz w:val="20"/>
      <w:szCs w:val="22"/>
      <w:lang w:val="en-GB"/>
    </w:rPr>
  </w:style>
  <w:style w:type="paragraph" w:customStyle="1" w:styleId="BulletListAll">
    <w:name w:val="Bullet List All"/>
    <w:basedOn w:val="BulletList"/>
    <w:qFormat/>
    <w:rsid w:val="00EE5F3F"/>
    <w:pPr>
      <w:framePr w:hSpace="180" w:wrap="around" w:vAnchor="page" w:hAnchor="page" w:x="1159" w:y="2112"/>
      <w:spacing w:before="60" w:line="240" w:lineRule="atLeast"/>
      <w:ind w:left="459" w:hanging="459"/>
    </w:pPr>
  </w:style>
  <w:style w:type="paragraph" w:customStyle="1" w:styleId="KeySkillsTable">
    <w:name w:val="KeySkills Table"/>
    <w:link w:val="KeySkillsTableChar"/>
    <w:qFormat/>
    <w:rsid w:val="00844C47"/>
    <w:pPr>
      <w:tabs>
        <w:tab w:val="left" w:pos="567"/>
        <w:tab w:val="left" w:pos="3686"/>
        <w:tab w:val="left" w:pos="6804"/>
        <w:tab w:val="left" w:pos="9214"/>
      </w:tabs>
      <w:spacing w:line="360" w:lineRule="auto"/>
      <w:ind w:left="284"/>
    </w:pPr>
    <w:rPr>
      <w:rFonts w:asciiTheme="majorHAnsi" w:eastAsia="MS Mincho" w:hAnsiTheme="majorHAnsi" w:cstheme="majorHAnsi"/>
      <w:color w:val="777877"/>
      <w:sz w:val="20"/>
      <w:szCs w:val="22"/>
    </w:rPr>
  </w:style>
  <w:style w:type="paragraph" w:customStyle="1" w:styleId="KeySkillsStrongerSkills">
    <w:name w:val="KeySkills Stronger Skills"/>
    <w:link w:val="KeySkillsStrongerSkillsChar"/>
    <w:qFormat/>
    <w:rsid w:val="00DD60C9"/>
    <w:pPr>
      <w:numPr>
        <w:numId w:val="5"/>
      </w:numPr>
      <w:ind w:left="320" w:hanging="320"/>
    </w:pPr>
    <w:rPr>
      <w:rFonts w:asciiTheme="majorHAnsi" w:eastAsia="MS Mincho" w:hAnsiTheme="majorHAnsi" w:cstheme="majorHAnsi"/>
      <w:color w:val="000000" w:themeColor="text1"/>
      <w:sz w:val="20"/>
      <w:szCs w:val="22"/>
    </w:rPr>
  </w:style>
  <w:style w:type="character" w:customStyle="1" w:styleId="KeySkillsTableChar">
    <w:name w:val="KeySkills Table Char"/>
    <w:basedOn w:val="DefaultParagraphFont"/>
    <w:link w:val="KeySkillsTable"/>
    <w:rsid w:val="00844C47"/>
    <w:rPr>
      <w:rFonts w:asciiTheme="majorHAnsi" w:eastAsia="MS Mincho" w:hAnsiTheme="majorHAnsi" w:cstheme="majorHAnsi"/>
      <w:color w:val="777877"/>
      <w:sz w:val="20"/>
      <w:szCs w:val="22"/>
    </w:rPr>
  </w:style>
  <w:style w:type="character" w:customStyle="1" w:styleId="KeySkillsStrongerSkillsChar">
    <w:name w:val="KeySkills Stronger Skills Char"/>
    <w:basedOn w:val="DefaultParagraphFont"/>
    <w:link w:val="KeySkillsStrongerSkills"/>
    <w:rsid w:val="00DD60C9"/>
    <w:rPr>
      <w:rFonts w:asciiTheme="majorHAnsi" w:eastAsia="MS Mincho" w:hAnsiTheme="majorHAnsi" w:cstheme="majorHAnsi"/>
      <w:color w:val="000000" w:themeColor="text1"/>
      <w:sz w:val="20"/>
      <w:szCs w:val="22"/>
    </w:rPr>
  </w:style>
  <w:style w:type="table" w:customStyle="1" w:styleId="TableGridLight1">
    <w:name w:val="Table Grid Light1"/>
    <w:basedOn w:val="TableNormal"/>
    <w:uiPriority w:val="40"/>
    <w:rsid w:val="00D77DC3"/>
    <w:rPr>
      <w:rFonts w:eastAsia="MS Minch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erName">
    <w:name w:val="Header/Name"/>
    <w:basedOn w:val="Normal"/>
    <w:link w:val="HeaderNameChar"/>
    <w:qFormat/>
    <w:rsid w:val="00CC77F8"/>
    <w:pPr>
      <w:tabs>
        <w:tab w:val="center" w:pos="4320"/>
        <w:tab w:val="right" w:pos="8640"/>
      </w:tabs>
    </w:pPr>
    <w:rPr>
      <w:rFonts w:asciiTheme="majorHAnsi" w:hAnsiTheme="majorHAnsi" w:cstheme="majorHAnsi"/>
      <w:caps/>
      <w:sz w:val="66"/>
      <w:szCs w:val="64"/>
      <w:lang w:val="en-GB"/>
    </w:rPr>
  </w:style>
  <w:style w:type="paragraph" w:customStyle="1" w:styleId="HeaderBlueSubtitle">
    <w:name w:val="Header/Blue Subtitle"/>
    <w:basedOn w:val="Normal"/>
    <w:link w:val="HeaderBlueSubtitleChar"/>
    <w:qFormat/>
    <w:rsid w:val="00B82226"/>
    <w:pPr>
      <w:tabs>
        <w:tab w:val="center" w:pos="4320"/>
        <w:tab w:val="right" w:pos="8640"/>
      </w:tabs>
      <w:ind w:left="-142"/>
    </w:pPr>
    <w:rPr>
      <w:rFonts w:asciiTheme="majorHAnsi" w:hAnsiTheme="majorHAnsi"/>
      <w:iCs/>
      <w:color w:val="4079B2"/>
      <w:sz w:val="32"/>
      <w:szCs w:val="32"/>
      <w:lang w:val="en-GB"/>
    </w:rPr>
  </w:style>
  <w:style w:type="character" w:customStyle="1" w:styleId="HeaderNameChar">
    <w:name w:val="Header/Name Char"/>
    <w:basedOn w:val="DefaultParagraphFont"/>
    <w:link w:val="HeaderName"/>
    <w:rsid w:val="00CC77F8"/>
    <w:rPr>
      <w:rFonts w:asciiTheme="majorHAnsi" w:hAnsiTheme="majorHAnsi" w:cstheme="majorHAnsi"/>
      <w:caps/>
      <w:sz w:val="66"/>
      <w:szCs w:val="64"/>
      <w:lang w:val="en-GB"/>
    </w:rPr>
  </w:style>
  <w:style w:type="character" w:customStyle="1" w:styleId="HeaderGreyInfosChar">
    <w:name w:val="Header/Grey Infos Char"/>
    <w:basedOn w:val="DefaultParagraphFont"/>
    <w:link w:val="HeaderGreyInfos"/>
    <w:rsid w:val="00CC72E9"/>
    <w:rPr>
      <w:rFonts w:ascii="Calibri" w:eastAsia="MS-Mincho" w:hAnsi="Calibri" w:cs="Calibri"/>
      <w:color w:val="A6A6A6"/>
      <w:sz w:val="20"/>
      <w:szCs w:val="20"/>
    </w:rPr>
  </w:style>
  <w:style w:type="character" w:customStyle="1" w:styleId="HeaderBlueSubtitleChar">
    <w:name w:val="Header/Blue Subtitle Char"/>
    <w:basedOn w:val="DefaultParagraphFont"/>
    <w:link w:val="HeaderBlueSubtitle"/>
    <w:rsid w:val="00B82226"/>
    <w:rPr>
      <w:rFonts w:asciiTheme="majorHAnsi" w:hAnsiTheme="majorHAnsi"/>
      <w:iCs/>
      <w:color w:val="4079B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81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66E"/>
  </w:style>
  <w:style w:type="paragraph" w:customStyle="1" w:styleId="TitleSectionTitles">
    <w:name w:val="Title: Section Titles"/>
    <w:basedOn w:val="TitleResumeSectionsTitles"/>
    <w:next w:val="StandardBodyText"/>
    <w:link w:val="TitleSectionTitlesChar"/>
    <w:qFormat/>
    <w:rsid w:val="008D3499"/>
    <w:pPr>
      <w:ind w:left="567" w:right="1410" w:firstLine="1134"/>
    </w:pPr>
    <w:rPr>
      <w:rFonts w:asciiTheme="majorHAnsi" w:hAnsiTheme="majorHAnsi"/>
      <w:caps/>
      <w:noProof/>
      <w:sz w:val="34"/>
      <w:szCs w:val="34"/>
      <w:lang w:val="en-US"/>
    </w:rPr>
  </w:style>
  <w:style w:type="character" w:customStyle="1" w:styleId="TitleSectionsKeySkillsOnlyChar">
    <w:name w:val="Title: Sections / Key Skills Only Char"/>
    <w:basedOn w:val="TitleSectionTitlesChar"/>
    <w:link w:val="TitleSectionsKeySkillsOnly"/>
    <w:rsid w:val="00FD58ED"/>
    <w:rPr>
      <w:rFonts w:ascii="Arial" w:hAnsi="Arial" w:cs="Arial"/>
      <w:caps/>
      <w:noProof/>
      <w:color w:val="6D6E71"/>
      <w:spacing w:val="4"/>
      <w:sz w:val="38"/>
      <w:szCs w:val="38"/>
      <w:lang w:val="en-GB"/>
    </w:rPr>
  </w:style>
  <w:style w:type="character" w:customStyle="1" w:styleId="TitleResumeSectionsTitlesChar">
    <w:name w:val="Title: Resume Sections Titles Char"/>
    <w:basedOn w:val="DefaultParagraphFont"/>
    <w:link w:val="TitleResumeSectionsTitles"/>
    <w:uiPriority w:val="99"/>
    <w:rsid w:val="004B40D7"/>
    <w:rPr>
      <w:rFonts w:ascii="Arial" w:hAnsi="Arial" w:cs="Arial"/>
      <w:color w:val="6D6E71"/>
      <w:spacing w:val="4"/>
      <w:sz w:val="38"/>
      <w:szCs w:val="38"/>
      <w:lang w:val="en-GB"/>
    </w:rPr>
  </w:style>
  <w:style w:type="character" w:customStyle="1" w:styleId="TitleSectionTitlesChar">
    <w:name w:val="Title: Section Titles Char"/>
    <w:basedOn w:val="TitleResumeSectionsTitlesChar"/>
    <w:link w:val="TitleSectionTitles"/>
    <w:rsid w:val="008D3499"/>
    <w:rPr>
      <w:rFonts w:asciiTheme="majorHAnsi" w:hAnsiTheme="majorHAnsi" w:cs="Arial"/>
      <w:caps/>
      <w:noProof/>
      <w:color w:val="6D6E71"/>
      <w:spacing w:val="4"/>
      <w:sz w:val="34"/>
      <w:szCs w:val="34"/>
      <w:lang w:val="en-GB"/>
    </w:rPr>
  </w:style>
  <w:style w:type="paragraph" w:customStyle="1" w:styleId="ProfExpCompanyName">
    <w:name w:val="Prof. Exp / Company Name"/>
    <w:basedOn w:val="DateAll"/>
    <w:link w:val="ProfExpCompanyNameChar"/>
    <w:qFormat/>
    <w:rsid w:val="00DE2AEA"/>
    <w:pPr>
      <w:spacing w:before="0" w:after="100" w:line="240" w:lineRule="auto"/>
      <w:ind w:left="567"/>
      <w:jc w:val="left"/>
    </w:pPr>
    <w:rPr>
      <w:rFonts w:asciiTheme="majorHAnsi" w:hAnsiTheme="majorHAnsi"/>
      <w:b/>
      <w:i/>
      <w:color w:val="939598"/>
    </w:rPr>
  </w:style>
  <w:style w:type="paragraph" w:customStyle="1" w:styleId="ProfExpBullet">
    <w:name w:val="Prof Exp Bullet"/>
    <w:basedOn w:val="BulletList"/>
    <w:link w:val="ProfExpBulletChar"/>
    <w:qFormat/>
    <w:rsid w:val="00EC443F"/>
    <w:pPr>
      <w:spacing w:before="0" w:line="240" w:lineRule="auto"/>
      <w:ind w:left="992"/>
    </w:pPr>
    <w:rPr>
      <w:color w:val="595959" w:themeColor="text1" w:themeTint="A6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5C047A"/>
    <w:rPr>
      <w:rFonts w:ascii="MinionPro-Regular" w:hAnsi="MinionPro-Regular" w:cs="MinionPro-Regular"/>
      <w:color w:val="000000"/>
      <w:lang w:val="en-GB"/>
    </w:rPr>
  </w:style>
  <w:style w:type="character" w:customStyle="1" w:styleId="DateAllChar">
    <w:name w:val="Date All Char"/>
    <w:basedOn w:val="BasicParagraphChar"/>
    <w:link w:val="DateAll"/>
    <w:rsid w:val="005C047A"/>
    <w:rPr>
      <w:rFonts w:ascii="Calibri" w:hAnsi="Calibri" w:cs="Calibri"/>
      <w:color w:val="474746"/>
      <w:sz w:val="22"/>
      <w:szCs w:val="22"/>
      <w:lang w:val="en-GB"/>
    </w:rPr>
  </w:style>
  <w:style w:type="character" w:customStyle="1" w:styleId="ProfExpCompanyNameChar">
    <w:name w:val="Prof. Exp / Company Name Char"/>
    <w:basedOn w:val="DateAllChar"/>
    <w:link w:val="ProfExpCompanyName"/>
    <w:rsid w:val="00DE2AEA"/>
    <w:rPr>
      <w:rFonts w:asciiTheme="majorHAnsi" w:hAnsiTheme="majorHAnsi" w:cs="Calibri"/>
      <w:b/>
      <w:i/>
      <w:color w:val="939598"/>
      <w:sz w:val="22"/>
      <w:szCs w:val="22"/>
      <w:lang w:val="en-GB"/>
    </w:rPr>
  </w:style>
  <w:style w:type="character" w:customStyle="1" w:styleId="StandardBodyTextChar">
    <w:name w:val="Standard Body Text Char"/>
    <w:basedOn w:val="DefaultParagraphFont"/>
    <w:link w:val="StandardBodyText"/>
    <w:uiPriority w:val="99"/>
    <w:rsid w:val="00305FBA"/>
    <w:rPr>
      <w:rFonts w:asciiTheme="majorHAnsi" w:hAnsiTheme="majorHAnsi" w:cs="Calibri"/>
      <w:sz w:val="22"/>
      <w:szCs w:val="22"/>
      <w:lang w:val="en-GB"/>
    </w:rPr>
  </w:style>
  <w:style w:type="character" w:customStyle="1" w:styleId="BulletListChar">
    <w:name w:val="Bullet List Char"/>
    <w:basedOn w:val="StandardBodyTextChar"/>
    <w:link w:val="BulletList"/>
    <w:uiPriority w:val="99"/>
    <w:rsid w:val="00305FBA"/>
    <w:rPr>
      <w:rFonts w:asciiTheme="majorHAnsi" w:hAnsiTheme="majorHAnsi" w:cs="Calibri"/>
      <w:sz w:val="22"/>
      <w:szCs w:val="22"/>
      <w:lang w:val="en-GB"/>
    </w:rPr>
  </w:style>
  <w:style w:type="character" w:customStyle="1" w:styleId="ProfExpBulletChar">
    <w:name w:val="Prof Exp Bullet Char"/>
    <w:basedOn w:val="BulletListChar"/>
    <w:link w:val="ProfExpBullet"/>
    <w:rsid w:val="00EC443F"/>
    <w:rPr>
      <w:rFonts w:asciiTheme="majorHAnsi" w:hAnsiTheme="majorHAnsi" w:cs="Calibri"/>
      <w:color w:val="595959" w:themeColor="text1" w:themeTint="A6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7429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killsseparators">
    <w:name w:val="Skills separators"/>
    <w:link w:val="SkillsseparatorsChar"/>
    <w:qFormat/>
    <w:rsid w:val="00651CB2"/>
    <w:pPr>
      <w:pBdr>
        <w:left w:val="dashed" w:sz="12" w:space="4" w:color="458DB1"/>
        <w:right w:val="dashed" w:sz="12" w:space="1" w:color="458DB1"/>
      </w:pBdr>
      <w:spacing w:after="160" w:line="259" w:lineRule="auto"/>
    </w:pPr>
    <w:rPr>
      <w:rFonts w:ascii="Myriad Pro" w:eastAsia="MS Mincho" w:hAnsi="Myriad Pro"/>
      <w:sz w:val="22"/>
      <w:szCs w:val="22"/>
    </w:rPr>
  </w:style>
  <w:style w:type="character" w:customStyle="1" w:styleId="SkillsseparatorsChar">
    <w:name w:val="Skills separators Char"/>
    <w:basedOn w:val="DefaultParagraphFont"/>
    <w:link w:val="Skillsseparators"/>
    <w:rsid w:val="00651CB2"/>
    <w:rPr>
      <w:rFonts w:ascii="Myriad Pro" w:eastAsia="MS Mincho" w:hAnsi="Myriad Pro"/>
      <w:sz w:val="22"/>
      <w:szCs w:val="22"/>
    </w:rPr>
  </w:style>
  <w:style w:type="paragraph" w:customStyle="1" w:styleId="AchievementsBullet">
    <w:name w:val="Achievements Bullet"/>
    <w:basedOn w:val="ProfExpBullet"/>
    <w:link w:val="AchievementsBulletChar"/>
    <w:qFormat/>
    <w:rsid w:val="00AE3BE1"/>
    <w:rPr>
      <w:i/>
      <w:color w:val="auto"/>
    </w:rPr>
  </w:style>
  <w:style w:type="character" w:styleId="Hyperlink">
    <w:name w:val="Hyperlink"/>
    <w:basedOn w:val="DefaultParagraphFont"/>
    <w:uiPriority w:val="99"/>
    <w:unhideWhenUsed/>
    <w:rsid w:val="00A024B0"/>
    <w:rPr>
      <w:color w:val="0000FF" w:themeColor="hyperlink"/>
      <w:u w:val="single"/>
    </w:rPr>
  </w:style>
  <w:style w:type="character" w:customStyle="1" w:styleId="AchievementsBulletChar">
    <w:name w:val="Achievements Bullet Char"/>
    <w:basedOn w:val="ProfExpBulletChar"/>
    <w:link w:val="AchievementsBullet"/>
    <w:rsid w:val="00AE3BE1"/>
    <w:rPr>
      <w:rFonts w:asciiTheme="majorHAnsi" w:hAnsiTheme="majorHAnsi" w:cs="Calibri"/>
      <w:i/>
      <w:color w:val="595959" w:themeColor="text1" w:themeTint="A6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7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BA0"/>
    <w:rPr>
      <w:b/>
      <w:bCs/>
      <w:sz w:val="20"/>
      <w:szCs w:val="20"/>
    </w:rPr>
  </w:style>
  <w:style w:type="character" w:customStyle="1" w:styleId="BodyChar">
    <w:name w:val="Body Char"/>
    <w:link w:val="Body"/>
    <w:locked/>
    <w:rsid w:val="00E36740"/>
    <w:rPr>
      <w:rFonts w:ascii="Arial" w:hAnsi="Arial" w:cs="Arial"/>
    </w:rPr>
  </w:style>
  <w:style w:type="paragraph" w:customStyle="1" w:styleId="Body">
    <w:name w:val="Body"/>
    <w:basedOn w:val="Normal"/>
    <w:link w:val="BodyChar"/>
    <w:qFormat/>
    <w:rsid w:val="00E36740"/>
    <w:pPr>
      <w:spacing w:before="120" w:after="120" w:line="30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0AD52F-3CA1-4BA0-807A-3231E7A1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Whiteley</dc:creator>
  <cp:keywords/>
  <dc:description/>
  <cp:lastModifiedBy>Sonia Whiteley</cp:lastModifiedBy>
  <cp:revision>2</cp:revision>
  <cp:lastPrinted>2015-06-24T08:52:00Z</cp:lastPrinted>
  <dcterms:created xsi:type="dcterms:W3CDTF">2017-07-09T22:00:00Z</dcterms:created>
  <dcterms:modified xsi:type="dcterms:W3CDTF">2017-07-09T22:00:00Z</dcterms:modified>
  <cp:category/>
</cp:coreProperties>
</file>